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6.png" ContentType="image/png"/>
  <Override PartName="/word/media/rId177.png" ContentType="image/png"/>
  <Override PartName="/word/media/rId180.png" ContentType="image/png"/>
  <Override PartName="/word/media/rId183.png" ContentType="image/png"/>
  <Override PartName="/word/media/rId195.png" ContentType="image/png"/>
  <Override PartName="/word/media/rId189.png" ContentType="image/png"/>
  <Override PartName="/word/media/rId192.png" ContentType="image/png"/>
  <Override PartName="/word/media/rId174.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June</w:t>
      </w:r>
      <w:r>
        <w:t xml:space="preserve"> </w:t>
      </w:r>
      <w:r>
        <w:t xml:space="preserve">16,</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policy landscapes are highly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However, given that sexuality receives relatively scant attention within migration research, there has yet to be a quantitative, representative investigation into how changing policy environments influence the migration patterns of individuals in same-sex couples into and across the U.S. Through studying the migration of same-sex couples, then, this study allows us to get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the immigrants in same-sex couples differ markedly compared to co-nationals in different-sex relationships. Specifically, those in same-sex relationships are often better educated, have higher incomes, and appear less influenced by network effects.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Migration scholars have long accepted that migration is more likely when economic gain is likely</w:t>
      </w:r>
      <w:r>
        <w:t xml:space="preserve"> </w:t>
      </w:r>
      <w:r>
        <w:t xml:space="preserve">(Hatton &amp; Williamson, 2005; Todaro, 1980)</w:t>
      </w:r>
      <w:r>
        <w:t xml:space="preserve">, established migration flows exist</w:t>
      </w:r>
      <w:r>
        <w:t xml:space="preserve"> </w:t>
      </w:r>
      <w:r>
        <w:t xml:space="preserve">(Hernández-León, 2013; Massey et al., 1987, 1999)</w:t>
      </w:r>
      <w:r>
        <w:t xml:space="preserve">, and countries are physically and culturally proximate</w:t>
      </w:r>
      <w:r>
        <w:t xml:space="preserve"> </w:t>
      </w:r>
      <w:r>
        <w:t xml:space="preserve">(Karemera et al., 2000; Mayda, 2010)</w:t>
      </w:r>
      <w:r>
        <w:t xml:space="preserve">. Despite a lack of research applying these theories to migration of same-sex couples, previous demographic research on non-immigrant same-sex couples suggests how they might apply. In the labor market, men in same-sex couples tend to earn less than their heterosexual counterparts, but women tend to earn more</w:t>
      </w:r>
      <w:r>
        <w:t xml:space="preserve"> </w:t>
      </w:r>
      <w:r>
        <w:t xml:space="preserve">(Klawitter, 2015)</w:t>
      </w:r>
      <w:r>
        <w:t xml:space="preserve"> </w:t>
      </w:r>
      <w:r>
        <w:t xml:space="preserve">– 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 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w:t>
      </w:r>
    </w:p>
    <w:p>
      <w:pPr>
        <w:pStyle w:val="BodyText"/>
      </w:pPr>
    </w:p>
    <w:p>
      <w:pPr>
        <w:pStyle w:val="BodyText"/>
      </w:pPr>
      <w:r>
        <w:t xml:space="preserve">Are LGB immigrants coming from generally repressive or progressive contexts? Despite representative research on this population, there is evidence to support both hypotheses. On the one hand, much queer migration research suggests that migrants in same-sex relationships are largely escaping repressive contexts</w:t>
      </w:r>
      <w:r>
        <w:t xml:space="preserve"> </w:t>
      </w:r>
      <w:r>
        <w:t xml:space="preserve">(Akin, 2017; Dhoest, 2019; Giametta, 2020a; Murray, 2014; Saleh, 2020, 2020; Sam &amp; Finley, 2015)</w:t>
      </w:r>
      <w:r>
        <w:t xml:space="preserve">.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w:t>
      </w:r>
    </w:p>
    <w:p>
      <w:pPr>
        <w:pStyle w:val="BodyText"/>
      </w:pPr>
      <w:r>
        <w:t xml:space="preserve">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Though such studies suggest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To what extent, then, is this pathway representative of immigrants in same-sex couples more generally?</w:t>
      </w:r>
    </w:p>
    <w:p>
      <w:pPr>
        <w:pStyle w:val="BodyText"/>
      </w:pPr>
      <w:r>
        <w:t xml:space="preserve">In his study of the</w:t>
      </w:r>
      <w:r>
        <w:t xml:space="preserve"> </w:t>
      </w:r>
      <w:r>
        <w:t xml:space="preserve">“</w:t>
      </w:r>
      <w:r>
        <w:t xml:space="preserve">sexual migration</w:t>
      </w:r>
      <w:r>
        <w:t xml:space="preserve">”</w:t>
      </w:r>
      <w:r>
        <w:t xml:space="preserve"> </w:t>
      </w:r>
      <w:r>
        <w:t xml:space="preserve">of gay Mexican men to the U.S.,</w:t>
      </w:r>
      <w:r>
        <w:t xml:space="preserve"> </w:t>
      </w:r>
      <w:r>
        <w:t xml:space="preserve">Carrillo (2018)</w:t>
      </w:r>
      <w:r>
        <w:t xml:space="preserve"> </w:t>
      </w:r>
      <w:r>
        <w:t xml:space="preserve">illustrates the power of imagined destinations. Overall, U.S. LGB policy is somewhat more progressive than Mexico,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their authentic lives. Since northward migration is a common choice for young Mexicans seeking upward mobility, family members are less likely to question this decision, and steady remittances help ward off prying questions. This observation likely generalizes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two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w:t>
      </w:r>
      <w:r>
        <w:t xml:space="preserve"> </w:t>
      </w: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Online Appendix,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2012 survey, a weighted 2 percent were in same-sex couples. This transformation of the data results in 37,980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using OLS. State-level measures are linked to survey year, while origin-country LGB policy and controls are linked to the mean year of immigration for each country-state-year immigrant group.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5"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macroeconomic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 Figure</w:t>
      </w:r>
      <w:r>
        <w:t xml:space="preserve"> </w:t>
      </w:r>
      <w:r>
        <w:t xml:space="preserve">3</w:t>
      </w:r>
      <w:r>
        <w:t xml:space="preserve"> </w:t>
      </w:r>
      <w:r>
        <w:t xml:space="preserve">presents results from four individual attributes. Panels A and B show that immigrants in same-sex couples tend to</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full tables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 @ref(fig:state-sim} 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Coefficients for state policy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bookmarkEnd w:id="32"/>
    <w:bookmarkStart w:id="34" w:name="robustness-checks"/>
    <w:p>
      <w:pPr>
        <w:pStyle w:val="Heading2"/>
      </w:pPr>
      <w:r>
        <w:t xml:space="preserve">Robustness Checks</w:t>
      </w:r>
    </w:p>
    <w:p>
      <w:pPr>
        <w:pStyle w:val="FirstParagraph"/>
      </w:pPr>
      <w:r>
        <w:t xml:space="preserve">Our results hold up to a variety of robustness checks presented in Section C of the Online Appendix;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3"/>
      </w:r>
    </w:p>
    <w:p>
      <w:pPr>
        <w:pStyle w:val="BodyText"/>
      </w:pPr>
      <w:r>
        <w:rPr>
          <w:bCs/>
          <w:b/>
        </w:rPr>
        <w:t xml:space="preserve">[FIGURE</w:t>
      </w:r>
      <w:r>
        <w:rPr>
          <w:bCs/>
          <w:b/>
        </w:rPr>
        <w:t xml:space="preserve"> </w:t>
      </w:r>
      <w:r>
        <w:rPr>
          <w:bCs/>
          <w:b/>
        </w:rPr>
        <w:t xml:space="preserve">8</w:t>
      </w:r>
      <w:r>
        <w:rPr>
          <w:bCs/>
          <w:b/>
        </w:rPr>
        <w:t xml:space="preserve"> </w:t>
      </w:r>
      <w:r>
        <w:rPr>
          <w:bCs/>
          <w:b/>
        </w:rPr>
        <w:t xml:space="preserve">ABOUT HERE]</w:t>
      </w:r>
    </w:p>
    <w:p>
      <w:pPr>
        <w:pStyle w:val="BodyText"/>
      </w:pPr>
      <w:r>
        <w:t xml:space="preserve">Here we show the hypothetical effects on our coefficients in the presence of even very high misreporting rates. Figure</w:t>
      </w:r>
      <w:r>
        <w:t xml:space="preserve"> </w:t>
      </w:r>
      <w:r>
        <w:t xml:space="preserve">8</w:t>
      </w:r>
      <w:r>
        <w:t xml:space="preserve"> </w:t>
      </w:r>
      <w:r>
        <w:t xml:space="preserve">takes Model 5 (which includes country and state controls and fixed effects)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Online Appendix, we present the coefficients of interest for all of the models in Tables</w:t>
      </w:r>
      <w:r>
        <w:t xml:space="preserve"> </w:t>
      </w:r>
      <w:r>
        <w:t xml:space="preserve">??</w:t>
      </w:r>
      <w:r>
        <w:t xml:space="preserve"> </w:t>
      </w:r>
      <w:r>
        <w:t xml:space="preserve">and</w:t>
      </w:r>
      <w:r>
        <w:t xml:space="preserve"> </w:t>
      </w:r>
      <w:r>
        <w:t xml:space="preserve">3</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3</w:t>
      </w:r>
      <w:r>
        <w:t xml:space="preserve"> </w:t>
      </w:r>
      <w:r>
        <w:t xml:space="preserve">are driven by smaller, progressive countries that send relatively few immigrants. Hence in the Online Appendix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Cs/>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3</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4"/>
    <w:bookmarkEnd w:id="35"/>
    <w:bookmarkStart w:id="36"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r>
        <w:br/>
      </w: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immigrants in same-sex couples, these data are virtually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other dimensions of well-being that are relevant to migration,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6"/>
    <w:bookmarkStart w:id="172" w:name="references"/>
    <w:p>
      <w:pPr>
        <w:pStyle w:val="Heading1"/>
      </w:pPr>
      <w:r>
        <w:t xml:space="preserve">References</w:t>
      </w:r>
    </w:p>
    <w:p>
      <w:pPr>
        <w:pStyle w:val="FirstParagraph"/>
      </w:pPr>
    </w:p>
    <w:bookmarkStart w:id="171" w:name="refs"/>
    <w:bookmarkStart w:id="37"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7"/>
    <w:bookmarkStart w:id="38" w:name="ref-ahmad_2013"/>
    <w:p>
      <w:pPr>
        <w:pStyle w:val="Bibliography"/>
      </w:pPr>
      <w:r>
        <w:t xml:space="preserve">Ahmad, P.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8"/>
    <w:bookmarkStart w:id="40"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9">
        <w:r>
          <w:rPr>
            <w:rStyle w:val="Hyperlink"/>
          </w:rPr>
          <w:t xml:space="preserve">https://doi.org/10.1080/1369183X.2016.1243050</w:t>
        </w:r>
      </w:hyperlink>
    </w:p>
    <w:bookmarkEnd w:id="40"/>
    <w:bookmarkStart w:id="41"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1"/>
    <w:bookmarkStart w:id="43"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2">
        <w:r>
          <w:rPr>
            <w:rStyle w:val="Hyperlink"/>
          </w:rPr>
          <w:t xml:space="preserve">https://doi.org/10.1080/1369183X.2018.1497955</w:t>
        </w:r>
      </w:hyperlink>
    </w:p>
    <w:bookmarkEnd w:id="43"/>
    <w:bookmarkStart w:id="44"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4"/>
    <w:bookmarkStart w:id="46" w:name="ref-badgett_2021_lgbtq"/>
    <w:p>
      <w:pPr>
        <w:pStyle w:val="Bibliography"/>
      </w:pPr>
      <w:r>
        <w:t xml:space="preserve">Badgett, M. V. L., Carpenter, C. S., &amp; Sansone, D. (2021).</w:t>
      </w:r>
      <w:r>
        <w:t xml:space="preserve"> </w:t>
      </w:r>
      <w:r>
        <w:t xml:space="preserve">LGBTQ Economics</w:t>
      </w:r>
      <w:r>
        <w:t xml:space="preserve">.</w:t>
      </w:r>
      <w:r>
        <w:t xml:space="preserve"> </w:t>
      </w:r>
      <w:r>
        <w:rPr>
          <w:iCs/>
          <w:i/>
        </w:rPr>
        <w:t xml:space="preserve">Journal of Economic Perspectives</w:t>
      </w:r>
      <w:r>
        <w:t xml:space="preserve">,</w:t>
      </w:r>
      <w:r>
        <w:t xml:space="preserve"> </w:t>
      </w:r>
      <w:r>
        <w:rPr>
          <w:iCs/>
          <w:i/>
        </w:rPr>
        <w:t xml:space="preserve">35</w:t>
      </w:r>
      <w:r>
        <w:t xml:space="preserve">(2), 141–170.</w:t>
      </w:r>
      <w:r>
        <w:t xml:space="preserve"> </w:t>
      </w:r>
      <w:hyperlink r:id="rId45">
        <w:r>
          <w:rPr>
            <w:rStyle w:val="Hyperlink"/>
          </w:rPr>
          <w:t xml:space="preserve">https://doi.org/10.1257/jep.35.2.141</w:t>
        </w:r>
      </w:hyperlink>
    </w:p>
    <w:bookmarkEnd w:id="46"/>
    <w:bookmarkStart w:id="48"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7">
        <w:r>
          <w:rPr>
            <w:rStyle w:val="Hyperlink"/>
          </w:rPr>
          <w:t xml:space="preserve">https://doi.org/10.1177/0192513X12464872</w:t>
        </w:r>
      </w:hyperlink>
    </w:p>
    <w:bookmarkEnd w:id="48"/>
    <w:bookmarkStart w:id="50"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9">
        <w:r>
          <w:rPr>
            <w:rStyle w:val="Hyperlink"/>
          </w:rPr>
          <w:t xml:space="preserve">https://doi.org/10.1007/978-94-007-5512-3</w:t>
        </w:r>
      </w:hyperlink>
    </w:p>
    <w:bookmarkEnd w:id="50"/>
    <w:bookmarkStart w:id="51"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51"/>
    <w:bookmarkStart w:id="53"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52">
        <w:r>
          <w:rPr>
            <w:rStyle w:val="Hyperlink"/>
          </w:rPr>
          <w:t xml:space="preserve">https://doi.org/10.1007/978-3-030-10910-3_11</w:t>
        </w:r>
      </w:hyperlink>
    </w:p>
    <w:bookmarkEnd w:id="53"/>
    <w:bookmarkStart w:id="54"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4"/>
    <w:bookmarkStart w:id="56"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5">
        <w:r>
          <w:rPr>
            <w:rStyle w:val="Hyperlink"/>
          </w:rPr>
          <w:t xml:space="preserve">https://doi.org/10.1080/00036846.2016.1251565</w:t>
        </w:r>
      </w:hyperlink>
    </w:p>
    <w:bookmarkEnd w:id="56"/>
    <w:bookmarkStart w:id="58"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7">
        <w:r>
          <w:rPr>
            <w:rStyle w:val="Hyperlink"/>
          </w:rPr>
          <w:t xml:space="preserve">https://doi.org/10.1111/j.1467-954X.2009.01864.x</w:t>
        </w:r>
      </w:hyperlink>
    </w:p>
    <w:bookmarkEnd w:id="58"/>
    <w:bookmarkStart w:id="59"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9"/>
    <w:bookmarkStart w:id="60"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60"/>
    <w:bookmarkStart w:id="61"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61"/>
    <w:bookmarkStart w:id="63"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2">
        <w:r>
          <w:rPr>
            <w:rStyle w:val="Hyperlink"/>
          </w:rPr>
          <w:t xml:space="preserve">https://doi.org/10.1080/01621459.1988.10478575</w:t>
        </w:r>
      </w:hyperlink>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7"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6">
        <w:r>
          <w:rPr>
            <w:rStyle w:val="Hyperlink"/>
          </w:rPr>
          <w:t xml:space="preserve">https://doi.org/10.1111/kykl.12206</w:t>
        </w:r>
      </w:hyperlink>
    </w:p>
    <w:bookmarkEnd w:id="67"/>
    <w:bookmarkStart w:id="69" w:name="ref-cochran_2015_mortality"/>
    <w:p>
      <w:pPr>
        <w:pStyle w:val="Bibliography"/>
      </w:pPr>
      <w:r>
        <w:t xml:space="preserve">Cochran, S. D., &amp; Mays, V. M. (2015). Mortality</w:t>
      </w:r>
      <w:r>
        <w:t xml:space="preserve"> </w:t>
      </w:r>
      <w:r>
        <w:t xml:space="preserve">Risks Among Persons Reporting Same-Sex Sexual Partners</w:t>
      </w:r>
      <w:r>
        <w:t xml:space="preserve">:</w:t>
      </w:r>
      <w:r>
        <w:t xml:space="preserve"> </w:t>
      </w:r>
      <w:r>
        <w:t xml:space="preserve">Evidence From</w:t>
      </w:r>
      <w:r>
        <w:t xml:space="preserve"> </w:t>
      </w:r>
      <w:r>
        <w:t xml:space="preserve">the 2008</w:t>
      </w:r>
      <w:r>
        <w:t xml:space="preserve"> </w:t>
      </w:r>
      <w:r>
        <w:t xml:space="preserve">General Social Survey</w:t>
      </w:r>
      <w:r>
        <w:t xml:space="preserve">.</w:t>
      </w:r>
      <w:r>
        <w:t xml:space="preserve"> </w:t>
      </w:r>
      <w:r>
        <w:rPr>
          <w:iCs/>
          <w:i/>
        </w:rPr>
        <w:t xml:space="preserve">American Journal of Public Health</w:t>
      </w:r>
      <w:r>
        <w:t xml:space="preserve">,</w:t>
      </w:r>
      <w:r>
        <w:t xml:space="preserve"> </w:t>
      </w:r>
      <w:r>
        <w:rPr>
          <w:iCs/>
          <w:i/>
        </w:rPr>
        <w:t xml:space="preserve">105</w:t>
      </w:r>
      <w:r>
        <w:t xml:space="preserve">(2), 358–364.</w:t>
      </w:r>
      <w:r>
        <w:t xml:space="preserve"> </w:t>
      </w:r>
      <w:hyperlink r:id="rId68">
        <w:r>
          <w:rPr>
            <w:rStyle w:val="Hyperlink"/>
          </w:rPr>
          <w:t xml:space="preserve">https://doi.org/10.2105/AJPH.2014.301974</w:t>
        </w:r>
      </w:hyperlink>
    </w:p>
    <w:bookmarkEnd w:id="69"/>
    <w:bookmarkStart w:id="70" w:name="ref-coppedge_2021"/>
    <w:p>
      <w:pPr>
        <w:pStyle w:val="Bibliography"/>
      </w:pPr>
      <w:r>
        <w:t xml:space="preserve">Coppedge, M., Gerring, J., Knutsen, C. H., Lindberg, S. I., Teorell, J., Alizada, N., Altman, D., Bernhard, M., Cornell, A., Fish, M. S.others.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0"/>
    <w:bookmarkStart w:id="71"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1"/>
    <w:bookmarkStart w:id="73"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2">
        <w:r>
          <w:rPr>
            <w:rStyle w:val="Hyperlink"/>
          </w:rPr>
          <w:t xml:space="preserve">https://doi.org/10.1186/s40878-020-00210-4</w:t>
        </w:r>
      </w:hyperlink>
    </w:p>
    <w:bookmarkEnd w:id="73"/>
    <w:bookmarkStart w:id="75"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4">
        <w:r>
          <w:rPr>
            <w:rStyle w:val="Hyperlink"/>
          </w:rPr>
          <w:t xml:space="preserve">https://doi.org/10.1080/1369183X.2017.1420466</w:t>
        </w:r>
      </w:hyperlink>
    </w:p>
    <w:bookmarkEnd w:id="75"/>
    <w:bookmarkStart w:id="77"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6">
        <w:r>
          <w:rPr>
            <w:rStyle w:val="Hyperlink"/>
          </w:rPr>
          <w:t xml:space="preserve">https://doi.org/10.1177/0011392119850231</w:t>
        </w:r>
      </w:hyperlink>
    </w:p>
    <w:bookmarkEnd w:id="77"/>
    <w:bookmarkStart w:id="78"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8"/>
    <w:bookmarkStart w:id="80"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79">
        <w:r>
          <w:rPr>
            <w:rStyle w:val="Hyperlink"/>
          </w:rPr>
          <w:t xml:space="preserve">https://doi.org/10.1257/aer.20130954</w:t>
        </w:r>
      </w:hyperlink>
    </w:p>
    <w:bookmarkEnd w:id="80"/>
    <w:bookmarkStart w:id="82"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1">
        <w:r>
          <w:rPr>
            <w:rStyle w:val="Hyperlink"/>
          </w:rPr>
          <w:t xml:space="preserve">https://doi.org/10.1146/annurev-soc-121919-054639</w:t>
        </w:r>
      </w:hyperlink>
    </w:p>
    <w:bookmarkEnd w:id="82"/>
    <w:bookmarkStart w:id="83" w:name="ref-fenelon_2020_samesex"/>
    <w:p>
      <w:pPr>
        <w:pStyle w:val="Bibliography"/>
      </w:pPr>
      <w:r>
        <w:t xml:space="preserve">Fenelon, A., Dragon, C., Reczek, C., &amp; Liu, H. (2020). Same-sex unions and adult mortality risk. In</w:t>
      </w:r>
      <w:r>
        <w:t xml:space="preserve"> </w:t>
      </w:r>
      <w:r>
        <w:rPr>
          <w:iCs/>
          <w:i/>
        </w:rPr>
        <w:t xml:space="preserve">Marriage and health</w:t>
      </w:r>
      <w:r>
        <w:t xml:space="preserve"> </w:t>
      </w:r>
      <w:r>
        <w:t xml:space="preserve">(pp. 145–157).</w:t>
      </w:r>
      <w:r>
        <w:t xml:space="preserve"> </w:t>
      </w:r>
      <w:r>
        <w:t xml:space="preserve">Rutgers University Press</w:t>
      </w:r>
      <w:r>
        <w:t xml:space="preserve">.</w:t>
      </w:r>
    </w:p>
    <w:bookmarkEnd w:id="83"/>
    <w:bookmarkStart w:id="85"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4">
        <w:r>
          <w:rPr>
            <w:rStyle w:val="Hyperlink"/>
          </w:rPr>
          <w:t xml:space="preserve">https://doi.org/10.1007/s13524-018-0684-5</w:t>
        </w:r>
      </w:hyperlink>
    </w:p>
    <w:bookmarkEnd w:id="85"/>
    <w:bookmarkStart w:id="87"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6">
        <w:r>
          <w:rPr>
            <w:rStyle w:val="Hyperlink"/>
          </w:rPr>
          <w:t xml:space="preserve">https://doi.org/10.1017/S0043887114000112</w:t>
        </w:r>
      </w:hyperlink>
    </w:p>
    <w:bookmarkEnd w:id="87"/>
    <w:bookmarkStart w:id="89"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8">
        <w:r>
          <w:rPr>
            <w:rStyle w:val="Hyperlink"/>
          </w:rPr>
          <w:t xml:space="preserve">https://doi.org/10.1177/1065912915621175</w:t>
        </w:r>
      </w:hyperlink>
    </w:p>
    <w:bookmarkEnd w:id="89"/>
    <w:bookmarkStart w:id="90"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0"/>
    <w:bookmarkStart w:id="91"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1"/>
    <w:bookmarkStart w:id="93"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2">
        <w:r>
          <w:rPr>
            <w:rStyle w:val="Hyperlink"/>
          </w:rPr>
          <w:t xml:space="preserve">https://doi.org/10.1080/1369183X.2018.1500172</w:t>
        </w:r>
      </w:hyperlink>
    </w:p>
    <w:bookmarkEnd w:id="93"/>
    <w:bookmarkStart w:id="94"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4"/>
    <w:bookmarkStart w:id="95"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5"/>
    <w:bookmarkStart w:id="96"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6"/>
    <w:bookmarkStart w:id="98"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7">
        <w:r>
          <w:rPr>
            <w:rStyle w:val="Hyperlink"/>
          </w:rPr>
          <w:t xml:space="preserve">https://doi.org/10.1080/14649360902853262</w:t>
        </w:r>
      </w:hyperlink>
    </w:p>
    <w:bookmarkEnd w:id="98"/>
    <w:bookmarkStart w:id="99"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9"/>
    <w:bookmarkStart w:id="101"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0">
        <w:r>
          <w:rPr>
            <w:rStyle w:val="Hyperlink"/>
          </w:rPr>
          <w:t xml:space="preserve">https://doi.org/10.7551/mitpress/3303.001.0001</w:t>
        </w:r>
      </w:hyperlink>
    </w:p>
    <w:bookmarkEnd w:id="101"/>
    <w:bookmarkStart w:id="102"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2"/>
    <w:bookmarkStart w:id="103"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3"/>
    <w:bookmarkStart w:id="105"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Same-Sex</w:t>
      </w:r>
      <w:r>
        <w:t xml:space="preserve"> </w:t>
      </w:r>
      <w:r>
        <w:t xml:space="preserve">and</w:t>
      </w:r>
      <w:r>
        <w:t xml:space="preserve"> </w:t>
      </w:r>
      <w:r>
        <w:t xml:space="preserve">Different-Sex Relationships Among Young Adults</w:t>
      </w:r>
      <w:r>
        <w:t xml:space="preserve">.</w:t>
      </w:r>
      <w:r>
        <w:t xml:space="preserve"> </w:t>
      </w:r>
      <w:r>
        <w:rPr>
          <w:iCs/>
          <w:i/>
        </w:rPr>
        <w:t xml:space="preserve">Demography</w:t>
      </w:r>
      <w:r>
        <w:t xml:space="preserve">,</w:t>
      </w:r>
      <w:r>
        <w:t xml:space="preserve"> </w:t>
      </w:r>
      <w:r>
        <w:rPr>
          <w:iCs/>
          <w:i/>
        </w:rPr>
        <w:t xml:space="preserve">54</w:t>
      </w:r>
      <w:r>
        <w:t xml:space="preserve">(6), 2351–2374.</w:t>
      </w:r>
      <w:r>
        <w:t xml:space="preserve"> </w:t>
      </w:r>
      <w:hyperlink r:id="rId104">
        <w:r>
          <w:rPr>
            <w:rStyle w:val="Hyperlink"/>
          </w:rPr>
          <w:t xml:space="preserve">https://doi.org/10.1007/s13524-017-0633-8</w:t>
        </w:r>
      </w:hyperlink>
    </w:p>
    <w:bookmarkEnd w:id="105"/>
    <w:bookmarkStart w:id="106"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6"/>
    <w:bookmarkStart w:id="108"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Cs/>
          <w:i/>
        </w:rPr>
        <w:t xml:space="preserve">Applied Economics</w:t>
      </w:r>
      <w:r>
        <w:t xml:space="preserve">,</w:t>
      </w:r>
      <w:r>
        <w:t xml:space="preserve"> </w:t>
      </w:r>
      <w:r>
        <w:rPr>
          <w:iCs/>
          <w:i/>
        </w:rPr>
        <w:t xml:space="preserve">32</w:t>
      </w:r>
      <w:r>
        <w:t xml:space="preserve">(13), 1745–1755.</w:t>
      </w:r>
      <w:r>
        <w:t xml:space="preserve"> </w:t>
      </w:r>
      <w:hyperlink r:id="rId107">
        <w:r>
          <w:rPr>
            <w:rStyle w:val="Hyperlink"/>
          </w:rPr>
          <w:t xml:space="preserve">https://doi.org/10.1080/000368400421093</w:t>
        </w:r>
      </w:hyperlink>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Cs/>
          <w:i/>
        </w:rPr>
        <w:t xml:space="preserve">Industrial Relations: A Journal of Economy and Society</w:t>
      </w:r>
      <w:r>
        <w:t xml:space="preserve">,</w:t>
      </w:r>
      <w:r>
        <w:t xml:space="preserve"> </w:t>
      </w:r>
      <w:r>
        <w:rPr>
          <w:iCs/>
          <w:i/>
        </w:rPr>
        <w:t xml:space="preserve">54</w:t>
      </w:r>
      <w:r>
        <w:t xml:space="preserve">(1), 4–32.</w:t>
      </w:r>
      <w:r>
        <w:t xml:space="preserve"> </w:t>
      </w:r>
      <w:hyperlink r:id="rId111">
        <w:r>
          <w:rPr>
            <w:rStyle w:val="Hyperlink"/>
          </w:rPr>
          <w:t xml:space="preserve">https://doi.org/10.1111/irel.12075</w:t>
        </w:r>
      </w:hyperlink>
    </w:p>
    <w:bookmarkEnd w:id="112"/>
    <w:bookmarkStart w:id="113"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w:t>
      </w:r>
      <w:r>
        <w:t xml:space="preserve"> </w:t>
      </w:r>
      <w:r>
        <w:t xml:space="preserve">Results</w:t>
      </w:r>
      <w:r>
        <w:t xml:space="preserve"> </w:t>
      </w:r>
      <w:r>
        <w:t xml:space="preserve">from recent tests.</w:t>
      </w:r>
      <w:r>
        <w:t xml:space="preserve"> </w:t>
      </w:r>
      <w:r>
        <w:rPr>
          <w:iCs/>
          <w:i/>
        </w:rPr>
        <w:t xml:space="preserve">PAA</w:t>
      </w:r>
      <w:r>
        <w:rPr>
          <w:iCs/>
          <w:i/>
        </w:rPr>
        <w:t xml:space="preserve"> </w:t>
      </w:r>
      <w:r>
        <w:rPr>
          <w:iCs/>
          <w:i/>
        </w:rPr>
        <w:t xml:space="preserve">2017 Annual Meeting</w:t>
      </w:r>
      <w:r>
        <w:t xml:space="preserve">.</w:t>
      </w:r>
    </w:p>
    <w:bookmarkEnd w:id="113"/>
    <w:bookmarkStart w:id="114" w:name="ref-kreider_2015"/>
    <w:p>
      <w:pPr>
        <w:pStyle w:val="Bibliography"/>
      </w:pPr>
      <w:r>
        <w:t xml:space="preserve">Kreider, R. M., &amp; Lofquist, D. A. (2015).</w:t>
      </w:r>
      <w:r>
        <w:t xml:space="preserve"> </w:t>
      </w:r>
      <w:r>
        <w:rPr>
          <w:iCs/>
          <w:i/>
        </w:rPr>
        <w:t xml:space="preserve">Matching survey data with administrative records to evaluate reports of same-sex married couple households</w:t>
      </w:r>
      <w:r>
        <w:t xml:space="preserve"> </w:t>
      </w:r>
      <w:r>
        <w:t xml:space="preserve">({{SEHSD Working Paper}} No. 2019-30).</w:t>
      </w:r>
    </w:p>
    <w:bookmarkEnd w:id="114"/>
    <w:bookmarkStart w:id="115"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5"/>
    <w:bookmarkStart w:id="116"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6"/>
    <w:bookmarkStart w:id="118"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7">
        <w:r>
          <w:rPr>
            <w:rStyle w:val="Hyperlink"/>
          </w:rPr>
          <w:t xml:space="preserve">https://doi.org/10.1177/1363460714552251</w:t>
        </w:r>
      </w:hyperlink>
    </w:p>
    <w:bookmarkEnd w:id="118"/>
    <w:bookmarkStart w:id="120"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9">
        <w:r>
          <w:rPr>
            <w:rStyle w:val="Hyperlink"/>
          </w:rPr>
          <w:t xml:space="preserve">https://doi.org/10.1215/10642684-2007-029</w:t>
        </w:r>
      </w:hyperlink>
    </w:p>
    <w:bookmarkEnd w:id="120"/>
    <w:bookmarkStart w:id="121"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21"/>
    <w:bookmarkStart w:id="123"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2">
        <w:r>
          <w:rPr>
            <w:rStyle w:val="Hyperlink"/>
          </w:rPr>
          <w:t xml:space="preserve">https://doi.org/10.1080/17450100903195318</w:t>
        </w:r>
      </w:hyperlink>
    </w:p>
    <w:bookmarkEnd w:id="123"/>
    <w:bookmarkStart w:id="124"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4"/>
    <w:bookmarkStart w:id="126"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Different-Sex Cohabiting Couple Relationship Stability</w:t>
      </w:r>
      <w:r>
        <w:t xml:space="preserve">.</w:t>
      </w:r>
      <w:r>
        <w:t xml:space="preserve"> </w:t>
      </w:r>
      <w:r>
        <w:rPr>
          <w:iCs/>
          <w:i/>
        </w:rPr>
        <w:t xml:space="preserve">Demography</w:t>
      </w:r>
      <w:r>
        <w:t xml:space="preserve">,</w:t>
      </w:r>
      <w:r>
        <w:t xml:space="preserve"> </w:t>
      </w:r>
      <w:r>
        <w:rPr>
          <w:iCs/>
          <w:i/>
        </w:rPr>
        <w:t xml:space="preserve">53</w:t>
      </w:r>
      <w:r>
        <w:t xml:space="preserve">(4), 937–953.</w:t>
      </w:r>
      <w:r>
        <w:t xml:space="preserve"> </w:t>
      </w:r>
      <w:hyperlink r:id="rId125">
        <w:r>
          <w:rPr>
            <w:rStyle w:val="Hyperlink"/>
          </w:rPr>
          <w:t xml:space="preserve">https://doi.org/10.1007/s13524-016-0490-x</w:t>
        </w:r>
      </w:hyperlink>
    </w:p>
    <w:bookmarkEnd w:id="126"/>
    <w:bookmarkStart w:id="128"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7">
        <w:r>
          <w:rPr>
            <w:rStyle w:val="Hyperlink"/>
          </w:rPr>
          <w:t xml:space="preserve">https://doi.org/10.1007/s12122-020-09305-4</w:t>
        </w:r>
      </w:hyperlink>
    </w:p>
    <w:bookmarkEnd w:id="128"/>
    <w:bookmarkStart w:id="129"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9"/>
    <w:bookmarkStart w:id="130" w:name="ref-massey_1999"/>
    <w:p>
      <w:pPr>
        <w:pStyle w:val="Bibliography"/>
      </w:pPr>
      <w:r>
        <w:t xml:space="preserve">Massey, D. S., Arango, J., Hugo, G., Kouaouci, A., Pellegrino, A., &amp; Taylor, J. E. (1999).</w:t>
      </w:r>
      <w:r>
        <w:t xml:space="preserve"> </w:t>
      </w:r>
      <w:r>
        <w:rPr>
          <w:iCs/>
          <w:i/>
        </w:rPr>
        <w:t xml:space="preserve">Worlds in</w:t>
      </w:r>
      <w:r>
        <w:rPr>
          <w:iCs/>
          <w:i/>
        </w:rPr>
        <w:t xml:space="preserve"> </w:t>
      </w:r>
      <w:r>
        <w:rPr>
          <w:iCs/>
          <w:i/>
        </w:rPr>
        <w:t xml:space="preserve">Motion</w:t>
      </w:r>
      <w:r>
        <w:rPr>
          <w:iCs/>
          <w:i/>
        </w:rPr>
        <w:t xml:space="preserve">:</w:t>
      </w:r>
      <w:r>
        <w:rPr>
          <w:iCs/>
          <w:i/>
        </w:rPr>
        <w:t xml:space="preserve"> </w:t>
      </w:r>
      <w:r>
        <w:rPr>
          <w:iCs/>
          <w:i/>
        </w:rPr>
        <w:t xml:space="preserve">Understanding International Migration</w:t>
      </w:r>
      <w:r>
        <w:rPr>
          <w:iCs/>
          <w:i/>
        </w:rPr>
        <w:t xml:space="preserve"> </w:t>
      </w:r>
      <w:r>
        <w:rPr>
          <w:iCs/>
          <w:i/>
        </w:rPr>
        <w:t xml:space="preserve">at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Millennium</w:t>
      </w:r>
      <w:r>
        <w:t xml:space="preserve">.</w:t>
      </w:r>
      <w:r>
        <w:t xml:space="preserve"> </w:t>
      </w:r>
      <w:r>
        <w:t xml:space="preserve">Oxford University Press</w:t>
      </w:r>
      <w:r>
        <w:t xml:space="preserve">.</w:t>
      </w:r>
    </w:p>
    <w:bookmarkEnd w:id="130"/>
    <w:bookmarkStart w:id="131" w:name="ref-mayda_2010"/>
    <w:p>
      <w:pPr>
        <w:pStyle w:val="Bibliography"/>
      </w:pPr>
      <w:r>
        <w:t xml:space="preserve">Mayda, A. M. (2010). International migration:</w:t>
      </w:r>
      <w:r>
        <w:t xml:space="preserve"> </w:t>
      </w:r>
      <w:r>
        <w:t xml:space="preserve">A</w:t>
      </w:r>
      <w:r>
        <w:t xml:space="preserve"> </w:t>
      </w:r>
      <w:r>
        <w:t xml:space="preserve">panel data analysis of the determinants of bilateral flows.</w:t>
      </w:r>
      <w:r>
        <w:t xml:space="preserve"> </w:t>
      </w:r>
      <w:r>
        <w:rPr>
          <w:iCs/>
          <w:i/>
        </w:rPr>
        <w:t xml:space="preserve">Journal of Population Economics</w:t>
      </w:r>
      <w:r>
        <w:t xml:space="preserve">,</w:t>
      </w:r>
      <w:r>
        <w:t xml:space="preserve"> </w:t>
      </w:r>
      <w:r>
        <w:rPr>
          <w:iCs/>
          <w:i/>
        </w:rPr>
        <w:t xml:space="preserve">23</w:t>
      </w:r>
      <w:r>
        <w:t xml:space="preserve">(4), 1249–1274.</w:t>
      </w:r>
    </w:p>
    <w:bookmarkEnd w:id="131"/>
    <w:bookmarkStart w:id="133"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32">
        <w:r>
          <w:rPr>
            <w:rStyle w:val="Hyperlink"/>
          </w:rPr>
          <w:t xml:space="preserve">https://doi.org/10.2139/ssrn.1994531</w:t>
        </w:r>
      </w:hyperlink>
    </w:p>
    <w:bookmarkEnd w:id="133"/>
    <w:bookmarkStart w:id="134"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4"/>
    <w:bookmarkStart w:id="135"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5"/>
    <w:bookmarkStart w:id="136"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6"/>
    <w:bookmarkStart w:id="137"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7"/>
    <w:bookmarkStart w:id="138"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8"/>
    <w:bookmarkStart w:id="140"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9">
        <w:r>
          <w:rPr>
            <w:rStyle w:val="Hyperlink"/>
          </w:rPr>
          <w:t xml:space="preserve">https://doi.org/10.1080/13691058.2016.1184314</w:t>
        </w:r>
      </w:hyperlink>
    </w:p>
    <w:bookmarkEnd w:id="140"/>
    <w:bookmarkStart w:id="142"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41">
        <w:r>
          <w:rPr>
            <w:rStyle w:val="Hyperlink"/>
          </w:rPr>
          <w:t xml:space="preserve">https://doi.org/10.31235/osf.io/mzuwe</w:t>
        </w:r>
      </w:hyperlink>
    </w:p>
    <w:bookmarkEnd w:id="142"/>
    <w:bookmarkStart w:id="144"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Cross-Context Comparative Research</w:t>
      </w:r>
      <w:r>
        <w:t xml:space="preserve"> </w:t>
      </w:r>
      <w:r>
        <w:t xml:space="preserve">on</w:t>
      </w:r>
      <w:r>
        <w:t xml:space="preserve"> </w:t>
      </w:r>
      <w:r>
        <w:t xml:space="preserve">Migration</w:t>
      </w:r>
      <w:r>
        <w:t xml:space="preserve">.</w:t>
      </w:r>
      <w:r>
        <w:t xml:space="preserve"> </w:t>
      </w:r>
      <w:r>
        <w:rPr>
          <w:iCs/>
          <w:i/>
        </w:rPr>
        <w:t xml:space="preserve">The ANNALS of the American Academy of Political and Social Science</w:t>
      </w:r>
      <w:r>
        <w:t xml:space="preserve">,</w:t>
      </w:r>
      <w:r>
        <w:t xml:space="preserve"> </w:t>
      </w:r>
      <w:r>
        <w:rPr>
          <w:iCs/>
          <w:i/>
        </w:rPr>
        <w:t xml:space="preserve">666</w:t>
      </w:r>
      <w:r>
        <w:t xml:space="preserve">(1), 28–45.</w:t>
      </w:r>
      <w:r>
        <w:t xml:space="preserve"> </w:t>
      </w:r>
      <w:hyperlink r:id="rId143">
        <w:r>
          <w:rPr>
            <w:rStyle w:val="Hyperlink"/>
          </w:rPr>
          <w:t xml:space="preserve">https://doi.org/10.1177/0002716216650629</w:t>
        </w:r>
      </w:hyperlink>
    </w:p>
    <w:bookmarkEnd w:id="144"/>
    <w:bookmarkStart w:id="146"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45">
        <w:r>
          <w:rPr>
            <w:rStyle w:val="Hyperlink"/>
          </w:rPr>
          <w:t xml:space="preserve">https://doi.org/10.1093/migration/mnab007</w:t>
        </w:r>
      </w:hyperlink>
    </w:p>
    <w:bookmarkEnd w:id="146"/>
    <w:bookmarkStart w:id="147"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7"/>
    <w:bookmarkStart w:id="149"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8">
        <w:r>
          <w:rPr>
            <w:rStyle w:val="Hyperlink"/>
          </w:rPr>
          <w:t xml:space="preserve">https://doi.org/10.1080/19436149.2020.1704501</w:t>
        </w:r>
      </w:hyperlink>
    </w:p>
    <w:bookmarkEnd w:id="149"/>
    <w:bookmarkStart w:id="151"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50">
        <w:r>
          <w:rPr>
            <w:rStyle w:val="Hyperlink"/>
          </w:rPr>
          <w:t xml:space="preserve">https://doi.org/10.1080/09518398.2015.1017858</w:t>
        </w:r>
      </w:hyperlink>
    </w:p>
    <w:bookmarkEnd w:id="151"/>
    <w:bookmarkStart w:id="153"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Cs/>
          <w:i/>
        </w:rPr>
        <w:t xml:space="preserve">Demographic Research</w:t>
      </w:r>
      <w:r>
        <w:t xml:space="preserve">,</w:t>
      </w:r>
      <w:r>
        <w:t xml:space="preserve"> </w:t>
      </w:r>
      <w:r>
        <w:rPr>
          <w:iCs/>
          <w:i/>
        </w:rPr>
        <w:t xml:space="preserve">21</w:t>
      </w:r>
      <w:r>
        <w:t xml:space="preserve">(28), 843–878.</w:t>
      </w:r>
      <w:r>
        <w:t xml:space="preserve"> </w:t>
      </w:r>
      <w:hyperlink r:id="rId152">
        <w:r>
          <w:rPr>
            <w:rStyle w:val="Hyperlink"/>
          </w:rPr>
          <w:t xml:space="preserve">https://doi.org/10.4054/DemRes.2009.21.28</w:t>
        </w:r>
      </w:hyperlink>
    </w:p>
    <w:bookmarkEnd w:id="153"/>
    <w:bookmarkStart w:id="154"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54"/>
    <w:bookmarkStart w:id="155"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55"/>
    <w:bookmarkStart w:id="156"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6"/>
    <w:bookmarkStart w:id="158"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7">
        <w:r>
          <w:rPr>
            <w:rStyle w:val="Hyperlink"/>
          </w:rPr>
          <w:t xml:space="preserve">https://doi.org/10.1080/1369183X.2019.1690980</w:t>
        </w:r>
      </w:hyperlink>
    </w:p>
    <w:bookmarkEnd w:id="158"/>
    <w:bookmarkStart w:id="159" w:name="ref-todaro_1980"/>
    <w:p>
      <w:pPr>
        <w:pStyle w:val="Bibliography"/>
      </w:pPr>
      <w:r>
        <w:t xml:space="preserve">Todaro, M. (1980). Internal migration in developing countries:</w:t>
      </w:r>
      <w:r>
        <w:t xml:space="preserve"> </w:t>
      </w:r>
      <w:r>
        <w:t xml:space="preserve">A</w:t>
      </w:r>
      <w:r>
        <w:t xml:space="preserve"> </w:t>
      </w:r>
      <w:r>
        <w:t xml:space="preserve">survey. In</w:t>
      </w:r>
      <w:r>
        <w:t xml:space="preserve"> </w:t>
      </w:r>
      <w:r>
        <w:rPr>
          <w:iCs/>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59"/>
    <w:bookmarkStart w:id="160"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60"/>
    <w:bookmarkStart w:id="161"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61"/>
    <w:bookmarkStart w:id="162"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62"/>
    <w:bookmarkStart w:id="16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63">
        <w:r>
          <w:rPr>
            <w:rStyle w:val="Hyperlink"/>
          </w:rPr>
          <w:t xml:space="preserve">https://doi.org/10.1093/sf/soy030</w:t>
        </w:r>
      </w:hyperlink>
    </w:p>
    <w:bookmarkEnd w:id="164"/>
    <w:bookmarkStart w:id="166"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5">
        <w:r>
          <w:rPr>
            <w:rStyle w:val="Hyperlink"/>
          </w:rPr>
          <w:t xml:space="preserve">https://doi.org/10.1111/lasr.12239</w:t>
        </w:r>
      </w:hyperlink>
    </w:p>
    <w:bookmarkEnd w:id="166"/>
    <w:bookmarkStart w:id="168"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7">
        <w:r>
          <w:rPr>
            <w:rStyle w:val="Hyperlink"/>
          </w:rPr>
          <w:t xml:space="preserve">https://doi.org/10.1177/13634607221103207</w:t>
        </w:r>
      </w:hyperlink>
    </w:p>
    <w:bookmarkEnd w:id="168"/>
    <w:bookmarkStart w:id="169" w:name="ref-walker_2021"/>
    <w:p>
      <w:pPr>
        <w:pStyle w:val="Bibliography"/>
      </w:pPr>
      <w:r>
        <w:t xml:space="preserve">Walker, L., &amp; Taylor, D. (2021).</w:t>
      </w:r>
      <w:r>
        <w:t xml:space="preserve"> </w:t>
      </w:r>
      <w:r>
        <w:rPr>
          <w:iCs/>
          <w:i/>
        </w:rPr>
        <w:t xml:space="preserve">Same-</w:t>
      </w:r>
      <w:r>
        <w:rPr>
          <w:iCs/>
          <w:i/>
        </w:rPr>
        <w:t xml:space="preserve">Sex Couple Households</w:t>
      </w:r>
      <w:r>
        <w:rPr>
          <w:iCs/>
          <w:i/>
        </w:rPr>
        <w:t xml:space="preserve">: 2019</w:t>
      </w:r>
      <w:r>
        <w:t xml:space="preserve"> </w:t>
      </w:r>
      <w:r>
        <w:t xml:space="preserve">(American {{Community Survey Briefs}} ACSBR-005).</w:t>
      </w:r>
      <w:r>
        <w:t xml:space="preserve"> </w:t>
      </w:r>
      <w:r>
        <w:t xml:space="preserve">U.S. Census Bureau</w:t>
      </w:r>
      <w:r>
        <w:t xml:space="preserve">.</w:t>
      </w:r>
    </w:p>
    <w:bookmarkEnd w:id="169"/>
    <w:bookmarkStart w:id="170"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70"/>
    <w:bookmarkEnd w:id="171"/>
    <w:p>
      <w:r>
        <w:br w:type="page"/>
      </w:r>
    </w:p>
    <w:bookmarkEnd w:id="172"/>
    <w:bookmarkStart w:id="173" w:name="tables"/>
    <w:p>
      <w:pPr>
        <w:pStyle w:val="Heading1"/>
      </w:pPr>
      <w:r>
        <w:t xml:space="preserve">Tables</w:t>
      </w:r>
    </w:p>
    <w:p>
      <w:pPr>
        <w:pStyle w:val="TableCaption"/>
      </w:pPr>
      <w:r>
        <w:t xml:space="preserve">Table 1:</w:t>
      </w:r>
      <w:r>
        <w:t xml:space="preserve"> </w:t>
      </w:r>
      <w:bookmarkStart w:id="1295b166-804b-4d10-a117-aa06654c5c7e" w:name="tab:country-tab"/>
      <w:r>
        <w:t xml:space="preserve">Sending countries ranked by proportion immigrant couples with same-sex partners</w:t>
      </w:r>
      <w:bookmarkEnd w:id="1295b166-804b-4d10-a117-aa06654c5c7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f874d73a-9de7-458e-ac2e-1c4247ed7821" w:name="tab:state-tab"/>
      <w:r>
        <w:t xml:space="preserve">States ranked by proportion immigrant couples with same-sex partners</w:t>
      </w:r>
      <w:bookmarkEnd w:id="f874d73a-9de7-458e-ac2e-1c4247ed782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4.49</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0.90 %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71fab23b-012d-46bf-9f42-b308d06f6a94" w:name="tab:state-props"/>
      <w:r>
        <w:t xml:space="preserve">Percent same-sex in by country of origin, U.S. state, and survey year.</w:t>
      </w:r>
      <w:bookmarkEnd w:id="71fab23b-012d-46bf-9f42-b308d06f6a9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0.156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0.109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0.183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0.196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173"/>
    <w:bookmarkStart w:id="198"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5" name="Picture"/>
            <a:graphic>
              <a:graphicData uri="http://schemas.openxmlformats.org/drawingml/2006/picture">
                <pic:pic>
                  <pic:nvPicPr>
                    <pic:cNvPr descr="ssimm_desc_files/figure-docx/total-pop-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BodyText"/>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8" name="Picture"/>
            <a:graphic>
              <a:graphicData uri="http://schemas.openxmlformats.org/drawingml/2006/picture">
                <pic:pic>
                  <pic:nvPicPr>
                    <pic:cNvPr descr="ssimm_desc_files/figure-docx/desc-country-1.png" id="179" name="Picture"/>
                    <pic:cNvPicPr>
                      <a:picLocks noChangeArrowheads="1" noChangeAspect="1"/>
                    </pic:cNvPicPr>
                  </pic:nvPicPr>
                  <pic:blipFill>
                    <a:blip r:embed="rId177"/>
                    <a:stretch>
                      <a:fillRect/>
                    </a:stretch>
                  </pic:blipFill>
                  <pic:spPr bwMode="auto">
                    <a:xfrm>
                      <a:off x="0" y="0"/>
                      <a:ext cx="5943600" cy="7132320"/>
                    </a:xfrm>
                    <a:prstGeom prst="rect">
                      <a:avLst/>
                    </a:prstGeom>
                    <a:noFill/>
                    <a:ln w="9525">
                      <a:noFill/>
                      <a:headEnd/>
                      <a:tailEnd/>
                    </a:ln>
                  </pic:spPr>
                </pic:pic>
              </a:graphicData>
            </a:graphic>
          </wp:inline>
        </w:drawing>
      </w:r>
      <w:r>
        <w:t xml:space="preserve"> </w:t>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81" name="Picture"/>
            <a:graphic>
              <a:graphicData uri="http://schemas.openxmlformats.org/drawingml/2006/picture">
                <pic:pic>
                  <pic:nvPicPr>
                    <pic:cNvPr descr="ssimm_desc_files/figure-docx/desc-ind-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4" name="Picture"/>
            <a:graphic>
              <a:graphicData uri="http://schemas.openxmlformats.org/drawingml/2006/picture">
                <pic:pic>
                  <pic:nvPicPr>
                    <pic:cNvPr descr="ssimm_desc_files/figure-docx/policy-desc-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7" name="Picture"/>
            <a:graphic>
              <a:graphicData uri="http://schemas.openxmlformats.org/drawingml/2006/picture">
                <pic:pic>
                  <pic:nvPicPr>
                    <pic:cNvPr descr="ssimm_desc_files/figure-docx/country-map-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90" name="Picture"/>
            <a:graphic>
              <a:graphicData uri="http://schemas.openxmlformats.org/drawingml/2006/picture">
                <pic:pic>
                  <pic:nvPicPr>
                    <pic:cNvPr descr="ssimm_desc_files/figure-docx/state-map-1.png" id="191" name="Picture"/>
                    <pic:cNvPicPr>
                      <a:picLocks noChangeArrowheads="1" noChangeAspect="1"/>
                    </pic:cNvPicPr>
                  </pic:nvPicPr>
                  <pic:blipFill>
                    <a:blip r:embed="rId18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93" name="Picture"/>
            <a:graphic>
              <a:graphicData uri="http://schemas.openxmlformats.org/drawingml/2006/picture">
                <pic:pic>
                  <pic:nvPicPr>
                    <pic:cNvPr descr="ssimm_desc_files/figure-docx/state-sim-1.png" id="194" name="Picture"/>
                    <pic:cNvPicPr>
                      <a:picLocks noChangeArrowheads="1" noChangeAspect="1"/>
                    </pic:cNvPicPr>
                  </pic:nvPicPr>
                  <pic:blipFill>
                    <a:blip r:embed="rId19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p>
      <w:r>
        <w:br w:type="page"/>
      </w:r>
    </w:p>
    <w:p>
      <w:pPr>
        <w:pStyle w:val="CaptionedFigure"/>
      </w:pPr>
      <w:r>
        <w:drawing>
          <wp:inline>
            <wp:extent cx="5943600" cy="4754880"/>
            <wp:effectExtent b="0" l="0" r="0" t="0"/>
            <wp:docPr descr="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 title="" id="196" name="Picture"/>
            <a:graphic>
              <a:graphicData uri="http://schemas.openxmlformats.org/drawingml/2006/picture">
                <pic:pic>
                  <pic:nvPicPr>
                    <pic:cNvPr descr="ssimm_desc_files/figure-docx/sens-1.png" id="197" name="Picture"/>
                    <pic:cNvPicPr>
                      <a:picLocks noChangeArrowheads="1" noChangeAspect="1"/>
                    </pic:cNvPicPr>
                  </pic:nvPicPr>
                  <pic:blipFill>
                    <a:blip r:embed="rId19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w:t>
      </w:r>
    </w:p>
    <w:bookmarkEnd w:id="198"/>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3">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Online Appendix for more details.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6" Target="media/rId186.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95" Target="media/rId195.png" /><Relationship Type="http://schemas.openxmlformats.org/officeDocument/2006/relationships/image" Id="rId189" Target="media/rId189.png" /><Relationship Type="http://schemas.openxmlformats.org/officeDocument/2006/relationships/image" Id="rId192" Target="media/rId192.png" /><Relationship Type="http://schemas.openxmlformats.org/officeDocument/2006/relationships/image" Id="rId174" Target="media/rId174.png" /><Relationship Type="http://schemas.openxmlformats.org/officeDocument/2006/relationships/hyperlink" Id="rId52" Target="https://doi.org/10.1007/978-3-030-10910-3_11" TargetMode="External" /><Relationship Type="http://schemas.openxmlformats.org/officeDocument/2006/relationships/hyperlink" Id="rId49" Target="https://doi.org/10.1007/978-94-007-5512-3" TargetMode="External" /><Relationship Type="http://schemas.openxmlformats.org/officeDocument/2006/relationships/hyperlink" Id="rId127" Target="https://doi.org/10.1007/s12122-020-09305-4" TargetMode="External" /><Relationship Type="http://schemas.openxmlformats.org/officeDocument/2006/relationships/hyperlink" Id="rId125" Target="https://doi.org/10.1007/s13524-016-0490-x" TargetMode="External" /><Relationship Type="http://schemas.openxmlformats.org/officeDocument/2006/relationships/hyperlink" Id="rId104" Target="https://doi.org/10.1007/s13524-017-0633-8" TargetMode="External" /><Relationship Type="http://schemas.openxmlformats.org/officeDocument/2006/relationships/hyperlink" Id="rId84" Target="https://doi.org/10.1007/s13524-018-0684-5" TargetMode="External" /><Relationship Type="http://schemas.openxmlformats.org/officeDocument/2006/relationships/hyperlink" Id="rId86" Target="https://doi.org/10.1017/S0043887114000112" TargetMode="External" /><Relationship Type="http://schemas.openxmlformats.org/officeDocument/2006/relationships/hyperlink" Id="rId107"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2" Target="https://doi.org/10.1080/01621459.1988.10478575" TargetMode="External" /><Relationship Type="http://schemas.openxmlformats.org/officeDocument/2006/relationships/hyperlink" Id="rId150" Target="https://doi.org/10.1080/09518398.2015.1017858" TargetMode="External" /><Relationship Type="http://schemas.openxmlformats.org/officeDocument/2006/relationships/hyperlink" Id="rId139" Target="https://doi.org/10.1080/13691058.2016.1184314" TargetMode="External" /><Relationship Type="http://schemas.openxmlformats.org/officeDocument/2006/relationships/hyperlink" Id="rId39" Target="https://doi.org/10.1080/1369183X.2016.1243050" TargetMode="External" /><Relationship Type="http://schemas.openxmlformats.org/officeDocument/2006/relationships/hyperlink" Id="rId74" Target="https://doi.org/10.1080/1369183X.2017.1420466" TargetMode="External" /><Relationship Type="http://schemas.openxmlformats.org/officeDocument/2006/relationships/hyperlink" Id="rId42" Target="https://doi.org/10.1080/1369183X.2018.1497955" TargetMode="External" /><Relationship Type="http://schemas.openxmlformats.org/officeDocument/2006/relationships/hyperlink" Id="rId92" Target="https://doi.org/10.1080/1369183X.2018.1500172" TargetMode="External" /><Relationship Type="http://schemas.openxmlformats.org/officeDocument/2006/relationships/hyperlink" Id="rId157"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22" Target="https://doi.org/10.1080/17450100903195318" TargetMode="External" /><Relationship Type="http://schemas.openxmlformats.org/officeDocument/2006/relationships/hyperlink" Id="rId148" Target="https://doi.org/10.1080/19436149.2020.1704501" TargetMode="External" /><Relationship Type="http://schemas.openxmlformats.org/officeDocument/2006/relationships/hyperlink" Id="rId145" Target="https://doi.org/10.1093/migration/mnab007" TargetMode="External" /><Relationship Type="http://schemas.openxmlformats.org/officeDocument/2006/relationships/hyperlink" Id="rId163" Target="https://doi.org/10.1093/sf/soy030" TargetMode="External" /><Relationship Type="http://schemas.openxmlformats.org/officeDocument/2006/relationships/hyperlink" Id="rId111" Target="https://doi.org/10.1111/irel.12075" TargetMode="External" /><Relationship Type="http://schemas.openxmlformats.org/officeDocument/2006/relationships/hyperlink" Id="rId57" Target="https://doi.org/10.1111/j.1467-954X.2009.01864.x" TargetMode="External" /><Relationship Type="http://schemas.openxmlformats.org/officeDocument/2006/relationships/hyperlink" Id="rId66" Target="https://doi.org/10.1111/kykl.12206" TargetMode="External" /><Relationship Type="http://schemas.openxmlformats.org/officeDocument/2006/relationships/hyperlink" Id="rId165" Target="https://doi.org/10.1111/lasr.12239" TargetMode="External" /><Relationship Type="http://schemas.openxmlformats.org/officeDocument/2006/relationships/hyperlink" Id="rId81" Target="https://doi.org/10.1146/annurev-soc-121919-054639" TargetMode="External" /><Relationship Type="http://schemas.openxmlformats.org/officeDocument/2006/relationships/hyperlink" Id="rId143" Target="https://doi.org/10.1177/0002716216650629" TargetMode="External" /><Relationship Type="http://schemas.openxmlformats.org/officeDocument/2006/relationships/hyperlink" Id="rId76"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88" Target="https://doi.org/10.1177/1065912915621175" TargetMode="External" /><Relationship Type="http://schemas.openxmlformats.org/officeDocument/2006/relationships/hyperlink" Id="rId117" Target="https://doi.org/10.1177/1363460714552251" TargetMode="External" /><Relationship Type="http://schemas.openxmlformats.org/officeDocument/2006/relationships/hyperlink" Id="rId167" Target="https://doi.org/10.1177/13634607221103207" TargetMode="External" /><Relationship Type="http://schemas.openxmlformats.org/officeDocument/2006/relationships/hyperlink" Id="rId72" Target="https://doi.org/10.1186/s40878-020-00210-4" TargetMode="External" /><Relationship Type="http://schemas.openxmlformats.org/officeDocument/2006/relationships/hyperlink" Id="rId119" Target="https://doi.org/10.1215/10642684-2007-029" TargetMode="External" /><Relationship Type="http://schemas.openxmlformats.org/officeDocument/2006/relationships/hyperlink" Id="rId79"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68" Target="https://doi.org/10.2105/AJPH.2014.301974" TargetMode="External" /><Relationship Type="http://schemas.openxmlformats.org/officeDocument/2006/relationships/hyperlink" Id="rId132" Target="https://doi.org/10.2139/ssrn.1994531" TargetMode="External" /><Relationship Type="http://schemas.openxmlformats.org/officeDocument/2006/relationships/hyperlink" Id="rId141" Target="https://doi.org/10.31235/osf.io/mzuwe" TargetMode="External" /><Relationship Type="http://schemas.openxmlformats.org/officeDocument/2006/relationships/hyperlink" Id="rId152" Target="https://doi.org/10.4054/DemRes.2009.21.28" TargetMode="External" /><Relationship Type="http://schemas.openxmlformats.org/officeDocument/2006/relationships/hyperlink" Id="rId100"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07/978-3-030-10910-3_11" TargetMode="External" /><Relationship Type="http://schemas.openxmlformats.org/officeDocument/2006/relationships/hyperlink" Id="rId49" Target="https://doi.org/10.1007/978-94-007-5512-3" TargetMode="External" /><Relationship Type="http://schemas.openxmlformats.org/officeDocument/2006/relationships/hyperlink" Id="rId127" Target="https://doi.org/10.1007/s12122-020-09305-4" TargetMode="External" /><Relationship Type="http://schemas.openxmlformats.org/officeDocument/2006/relationships/hyperlink" Id="rId125" Target="https://doi.org/10.1007/s13524-016-0490-x" TargetMode="External" /><Relationship Type="http://schemas.openxmlformats.org/officeDocument/2006/relationships/hyperlink" Id="rId104" Target="https://doi.org/10.1007/s13524-017-0633-8" TargetMode="External" /><Relationship Type="http://schemas.openxmlformats.org/officeDocument/2006/relationships/hyperlink" Id="rId84" Target="https://doi.org/10.1007/s13524-018-0684-5" TargetMode="External" /><Relationship Type="http://schemas.openxmlformats.org/officeDocument/2006/relationships/hyperlink" Id="rId86" Target="https://doi.org/10.1017/S0043887114000112" TargetMode="External" /><Relationship Type="http://schemas.openxmlformats.org/officeDocument/2006/relationships/hyperlink" Id="rId107"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2" Target="https://doi.org/10.1080/01621459.1988.10478575" TargetMode="External" /><Relationship Type="http://schemas.openxmlformats.org/officeDocument/2006/relationships/hyperlink" Id="rId150" Target="https://doi.org/10.1080/09518398.2015.1017858" TargetMode="External" /><Relationship Type="http://schemas.openxmlformats.org/officeDocument/2006/relationships/hyperlink" Id="rId139" Target="https://doi.org/10.1080/13691058.2016.1184314" TargetMode="External" /><Relationship Type="http://schemas.openxmlformats.org/officeDocument/2006/relationships/hyperlink" Id="rId39" Target="https://doi.org/10.1080/1369183X.2016.1243050" TargetMode="External" /><Relationship Type="http://schemas.openxmlformats.org/officeDocument/2006/relationships/hyperlink" Id="rId74" Target="https://doi.org/10.1080/1369183X.2017.1420466" TargetMode="External" /><Relationship Type="http://schemas.openxmlformats.org/officeDocument/2006/relationships/hyperlink" Id="rId42" Target="https://doi.org/10.1080/1369183X.2018.1497955" TargetMode="External" /><Relationship Type="http://schemas.openxmlformats.org/officeDocument/2006/relationships/hyperlink" Id="rId92" Target="https://doi.org/10.1080/1369183X.2018.1500172" TargetMode="External" /><Relationship Type="http://schemas.openxmlformats.org/officeDocument/2006/relationships/hyperlink" Id="rId157"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22" Target="https://doi.org/10.1080/17450100903195318" TargetMode="External" /><Relationship Type="http://schemas.openxmlformats.org/officeDocument/2006/relationships/hyperlink" Id="rId148" Target="https://doi.org/10.1080/19436149.2020.1704501" TargetMode="External" /><Relationship Type="http://schemas.openxmlformats.org/officeDocument/2006/relationships/hyperlink" Id="rId145" Target="https://doi.org/10.1093/migration/mnab007" TargetMode="External" /><Relationship Type="http://schemas.openxmlformats.org/officeDocument/2006/relationships/hyperlink" Id="rId163" Target="https://doi.org/10.1093/sf/soy030" TargetMode="External" /><Relationship Type="http://schemas.openxmlformats.org/officeDocument/2006/relationships/hyperlink" Id="rId111" Target="https://doi.org/10.1111/irel.12075" TargetMode="External" /><Relationship Type="http://schemas.openxmlformats.org/officeDocument/2006/relationships/hyperlink" Id="rId57" Target="https://doi.org/10.1111/j.1467-954X.2009.01864.x" TargetMode="External" /><Relationship Type="http://schemas.openxmlformats.org/officeDocument/2006/relationships/hyperlink" Id="rId66" Target="https://doi.org/10.1111/kykl.12206" TargetMode="External" /><Relationship Type="http://schemas.openxmlformats.org/officeDocument/2006/relationships/hyperlink" Id="rId165" Target="https://doi.org/10.1111/lasr.12239" TargetMode="External" /><Relationship Type="http://schemas.openxmlformats.org/officeDocument/2006/relationships/hyperlink" Id="rId81" Target="https://doi.org/10.1146/annurev-soc-121919-054639" TargetMode="External" /><Relationship Type="http://schemas.openxmlformats.org/officeDocument/2006/relationships/hyperlink" Id="rId143" Target="https://doi.org/10.1177/0002716216650629" TargetMode="External" /><Relationship Type="http://schemas.openxmlformats.org/officeDocument/2006/relationships/hyperlink" Id="rId76"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88" Target="https://doi.org/10.1177/1065912915621175" TargetMode="External" /><Relationship Type="http://schemas.openxmlformats.org/officeDocument/2006/relationships/hyperlink" Id="rId117" Target="https://doi.org/10.1177/1363460714552251" TargetMode="External" /><Relationship Type="http://schemas.openxmlformats.org/officeDocument/2006/relationships/hyperlink" Id="rId167" Target="https://doi.org/10.1177/13634607221103207" TargetMode="External" /><Relationship Type="http://schemas.openxmlformats.org/officeDocument/2006/relationships/hyperlink" Id="rId72" Target="https://doi.org/10.1186/s40878-020-00210-4" TargetMode="External" /><Relationship Type="http://schemas.openxmlformats.org/officeDocument/2006/relationships/hyperlink" Id="rId119" Target="https://doi.org/10.1215/10642684-2007-029" TargetMode="External" /><Relationship Type="http://schemas.openxmlformats.org/officeDocument/2006/relationships/hyperlink" Id="rId79"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68" Target="https://doi.org/10.2105/AJPH.2014.301974" TargetMode="External" /><Relationship Type="http://schemas.openxmlformats.org/officeDocument/2006/relationships/hyperlink" Id="rId132" Target="https://doi.org/10.2139/ssrn.1994531" TargetMode="External" /><Relationship Type="http://schemas.openxmlformats.org/officeDocument/2006/relationships/hyperlink" Id="rId141" Target="https://doi.org/10.31235/osf.io/mzuwe" TargetMode="External" /><Relationship Type="http://schemas.openxmlformats.org/officeDocument/2006/relationships/hyperlink" Id="rId152" Target="https://doi.org/10.4054/DemRes.2009.21.28" TargetMode="External" /><Relationship Type="http://schemas.openxmlformats.org/officeDocument/2006/relationships/hyperlink" Id="rId100"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2022-06-16T16:38:44Z</dcterms:created>
  <dcterms:modified xsi:type="dcterms:W3CDTF">2022-06-16T16:38:44Z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lesbian, gay, and bisexual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date">
    <vt:lpwstr>June 16,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True</vt:lpwstr>
  </property>
  <property fmtid="{D5CDD505-2E9C-101B-9397-08002B2CF9AE}" pid="12" name="link-citations">
    <vt:lpwstr>False</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